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Pr="00987187" w:rsidRDefault="00DA1139">
      <w:pPr>
        <w:rPr>
          <w:rFonts w:ascii="Arial" w:hAnsi="Arial" w:cs="Arial"/>
        </w:rPr>
      </w:pPr>
      <w:r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  <w:t>AGENDA ITEM</w:t>
      </w:r>
      <w:r w:rsidR="001526F3" w:rsidRPr="00987187">
        <w:rPr>
          <w:rFonts w:ascii="Arial" w:hAnsi="Arial" w:cs="Arial"/>
        </w:rPr>
        <w:t xml:space="preserve"> </w:t>
      </w:r>
      <w:bookmarkStart w:id="0" w:name="_GoBack"/>
      <w:bookmarkEnd w:id="0"/>
      <w:r w:rsidR="006403BD">
        <w:rPr>
          <w:rFonts w:ascii="Arial" w:hAnsi="Arial" w:cs="Arial"/>
        </w:rPr>
        <w:t>5</w:t>
      </w:r>
    </w:p>
    <w:p w:rsidR="00F23DCB" w:rsidRPr="00987187" w:rsidRDefault="00C06F21">
      <w:pPr>
        <w:rPr>
          <w:rFonts w:ascii="Arial" w:hAnsi="Arial" w:cs="Arial"/>
        </w:rPr>
      </w:pPr>
      <w:r w:rsidRPr="00987187">
        <w:rPr>
          <w:rFonts w:ascii="Arial" w:hAnsi="Arial" w:cs="Arial"/>
        </w:rPr>
        <w:t xml:space="preserve">Matters Arising </w:t>
      </w:r>
      <w:r w:rsidR="00DA1139" w:rsidRPr="00987187">
        <w:rPr>
          <w:rFonts w:ascii="Arial" w:hAnsi="Arial" w:cs="Arial"/>
        </w:rPr>
        <w:t>From HLH Board Meeting</w:t>
      </w:r>
      <w:r w:rsidRPr="00987187">
        <w:rPr>
          <w:rFonts w:ascii="Arial" w:hAnsi="Arial" w:cs="Arial"/>
        </w:rPr>
        <w:t xml:space="preserve"> </w:t>
      </w:r>
      <w:r w:rsidR="00C134B6">
        <w:rPr>
          <w:rFonts w:ascii="Arial" w:hAnsi="Arial" w:cs="Arial"/>
        </w:rPr>
        <w:t>13 December 2017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8"/>
        <w:gridCol w:w="6453"/>
        <w:gridCol w:w="1145"/>
        <w:gridCol w:w="1627"/>
      </w:tblGrid>
      <w:tr w:rsidR="00C06F21" w:rsidRPr="00987187" w:rsidTr="003F6258">
        <w:trPr>
          <w:trHeight w:val="399"/>
        </w:trPr>
        <w:tc>
          <w:tcPr>
            <w:tcW w:w="948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ITEM</w:t>
            </w:r>
          </w:p>
        </w:tc>
        <w:tc>
          <w:tcPr>
            <w:tcW w:w="6453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DETAIL</w:t>
            </w:r>
          </w:p>
        </w:tc>
        <w:tc>
          <w:tcPr>
            <w:tcW w:w="1145" w:type="dxa"/>
          </w:tcPr>
          <w:p w:rsidR="00C06F21" w:rsidRPr="00987187" w:rsidRDefault="00DF1780" w:rsidP="00DA1139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LEAD</w:t>
            </w:r>
          </w:p>
        </w:tc>
        <w:tc>
          <w:tcPr>
            <w:tcW w:w="1627" w:type="dxa"/>
          </w:tcPr>
          <w:p w:rsidR="00C06F21" w:rsidRPr="00987187" w:rsidRDefault="00DF1780" w:rsidP="00D20B18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DUE DATE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Default="00C134B6" w:rsidP="002C6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C134B6" w:rsidRPr="00987187" w:rsidRDefault="00C134B6" w:rsidP="002C6E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., ii. </w:t>
            </w: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iv.</w:t>
            </w:r>
          </w:p>
        </w:tc>
        <w:tc>
          <w:tcPr>
            <w:tcW w:w="6453" w:type="dxa"/>
          </w:tcPr>
          <w:p w:rsidR="00C134B6" w:rsidRDefault="00C134B6" w:rsidP="002C6EF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Work Plan and 2018 Meeting Dates</w:t>
            </w:r>
          </w:p>
          <w:p w:rsidR="00C134B6" w:rsidRDefault="00C134B6" w:rsidP="002C6EF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Work Plan and meeting dates for 2018 agreed.</w:t>
            </w:r>
          </w:p>
          <w:p w:rsidR="00501C71" w:rsidRDefault="00501C71" w:rsidP="002C6EFA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  <w:p w:rsidR="00C134B6" w:rsidRPr="000A6519" w:rsidRDefault="00C134B6" w:rsidP="002C6EFA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Directors Governance Handbook and Directors secure webpages updated with the work plan calendar and key dates.  E-diary invites issued to Directors of both boards December 2017. </w:t>
            </w:r>
          </w:p>
        </w:tc>
        <w:tc>
          <w:tcPr>
            <w:tcW w:w="1145" w:type="dxa"/>
          </w:tcPr>
          <w:p w:rsidR="00C134B6" w:rsidRDefault="00C134B6" w:rsidP="002C6EFA">
            <w:pPr>
              <w:rPr>
                <w:rFonts w:ascii="Arial" w:hAnsi="Arial" w:cs="Arial"/>
              </w:rPr>
            </w:pPr>
          </w:p>
          <w:p w:rsidR="00C134B6" w:rsidRDefault="00C134B6" w:rsidP="002C6EFA">
            <w:pPr>
              <w:rPr>
                <w:rFonts w:ascii="Arial" w:hAnsi="Arial" w:cs="Arial"/>
              </w:rPr>
            </w:pPr>
          </w:p>
          <w:p w:rsidR="00501C71" w:rsidRDefault="00501C71" w:rsidP="002C6EFA">
            <w:pPr>
              <w:rPr>
                <w:rFonts w:ascii="Arial" w:hAnsi="Arial" w:cs="Arial"/>
              </w:rPr>
            </w:pPr>
          </w:p>
          <w:p w:rsidR="00C134B6" w:rsidRPr="00987187" w:rsidRDefault="00C134B6" w:rsidP="002C6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</w:t>
            </w:r>
          </w:p>
        </w:tc>
        <w:tc>
          <w:tcPr>
            <w:tcW w:w="1627" w:type="dxa"/>
          </w:tcPr>
          <w:p w:rsidR="00C134B6" w:rsidRDefault="00C134B6" w:rsidP="002C6EFA">
            <w:pPr>
              <w:rPr>
                <w:rFonts w:ascii="Arial" w:hAnsi="Arial" w:cs="Arial"/>
              </w:rPr>
            </w:pPr>
          </w:p>
          <w:p w:rsidR="00C134B6" w:rsidRDefault="00C134B6" w:rsidP="002C6EFA">
            <w:pPr>
              <w:rPr>
                <w:rFonts w:ascii="Arial" w:hAnsi="Arial" w:cs="Arial"/>
              </w:rPr>
            </w:pPr>
          </w:p>
          <w:p w:rsidR="00501C71" w:rsidRDefault="00501C71" w:rsidP="002C6EFA">
            <w:pPr>
              <w:rPr>
                <w:rFonts w:ascii="Arial" w:hAnsi="Arial" w:cs="Arial"/>
              </w:rPr>
            </w:pPr>
          </w:p>
          <w:p w:rsidR="00C134B6" w:rsidRPr="00987187" w:rsidRDefault="00C134B6" w:rsidP="002C6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Default="00C134B6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C134B6" w:rsidRDefault="00C134B6" w:rsidP="00C1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and iv.</w:t>
            </w:r>
          </w:p>
        </w:tc>
        <w:tc>
          <w:tcPr>
            <w:tcW w:w="6453" w:type="dxa"/>
          </w:tcPr>
          <w:p w:rsidR="00C134B6" w:rsidRPr="00F10A6E" w:rsidRDefault="00C134B6" w:rsidP="002747D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10A6E">
              <w:rPr>
                <w:rFonts w:ascii="Arial" w:hAnsi="Arial" w:cs="Arial"/>
                <w:color w:val="000000" w:themeColor="text1"/>
              </w:rPr>
              <w:t>European General Data Protection Regulations</w:t>
            </w:r>
          </w:p>
          <w:p w:rsidR="00C134B6" w:rsidRPr="00F10A6E" w:rsidRDefault="00C134B6" w:rsidP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10A6E">
              <w:rPr>
                <w:rFonts w:ascii="Arial" w:hAnsi="Arial" w:cs="Arial"/>
                <w:color w:val="000000" w:themeColor="text1"/>
              </w:rPr>
              <w:t>HLH officers to investigate if the costs of THC providing the charity’s Data Protection Officer as a shared service was covered by the terms of the SDC and inform Directors when the Data Protection agreement is in place.</w:t>
            </w:r>
          </w:p>
          <w:p w:rsidR="00501C71" w:rsidRDefault="00501C71" w:rsidP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F10A6E" w:rsidP="00C134B6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501C71">
              <w:rPr>
                <w:rFonts w:ascii="Arial" w:hAnsi="Arial" w:cs="Arial"/>
                <w:i/>
                <w:color w:val="000000" w:themeColor="text1"/>
              </w:rPr>
              <w:t>Checked – not covered. DP Agreement still under discussion</w:t>
            </w:r>
          </w:p>
          <w:p w:rsidR="00C134B6" w:rsidRPr="00F10A6E" w:rsidRDefault="00C134B6" w:rsidP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  <w:r w:rsidRPr="00F10A6E">
              <w:rPr>
                <w:rFonts w:ascii="Arial" w:hAnsi="Arial" w:cs="Arial"/>
                <w:color w:val="000000" w:themeColor="text1"/>
              </w:rPr>
              <w:t>JWM</w:t>
            </w:r>
          </w:p>
        </w:tc>
        <w:tc>
          <w:tcPr>
            <w:tcW w:w="1627" w:type="dxa"/>
          </w:tcPr>
          <w:p w:rsidR="00C134B6" w:rsidRPr="00F10A6E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F10A6E" w:rsidRDefault="00F10A6E" w:rsidP="00D20B18">
            <w:pPr>
              <w:rPr>
                <w:rFonts w:ascii="Arial" w:hAnsi="Arial" w:cs="Arial"/>
                <w:color w:val="000000" w:themeColor="text1"/>
              </w:rPr>
            </w:pPr>
            <w:r w:rsidRPr="00F10A6E">
              <w:rPr>
                <w:rFonts w:ascii="Arial" w:hAnsi="Arial" w:cs="Arial"/>
                <w:color w:val="000000" w:themeColor="text1"/>
              </w:rPr>
              <w:t>Ongoing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Default="00C134B6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8ii.</w:t>
            </w:r>
          </w:p>
        </w:tc>
        <w:tc>
          <w:tcPr>
            <w:tcW w:w="6453" w:type="dxa"/>
          </w:tcPr>
          <w:p w:rsidR="00C134B6" w:rsidRPr="00CE3FE1" w:rsidRDefault="00C134B6" w:rsidP="00A30DB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E3FE1">
              <w:rPr>
                <w:rFonts w:ascii="Arial" w:hAnsi="Arial" w:cs="Arial"/>
                <w:color w:val="000000" w:themeColor="text1"/>
              </w:rPr>
              <w:t>Budget Planning 2018/19</w:t>
            </w:r>
          </w:p>
          <w:p w:rsidR="00C134B6" w:rsidRPr="00CE3FE1" w:rsidRDefault="00C134B6" w:rsidP="00A30DB0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E3FE1">
              <w:rPr>
                <w:rFonts w:ascii="Arial" w:hAnsi="Arial" w:cs="Arial"/>
                <w:color w:val="000000" w:themeColor="text1"/>
              </w:rPr>
              <w:t>CoSLA</w:t>
            </w:r>
            <w:proofErr w:type="spellEnd"/>
            <w:r w:rsidRPr="00CE3FE1">
              <w:rPr>
                <w:rFonts w:ascii="Arial" w:hAnsi="Arial" w:cs="Arial"/>
                <w:color w:val="000000" w:themeColor="text1"/>
              </w:rPr>
              <w:t xml:space="preserve"> to be approached again with a view to </w:t>
            </w:r>
            <w:r w:rsidR="008A4340" w:rsidRPr="00CE3FE1">
              <w:rPr>
                <w:rFonts w:ascii="Arial" w:hAnsi="Arial" w:cs="Arial"/>
                <w:color w:val="000000" w:themeColor="text1"/>
              </w:rPr>
              <w:t>it</w:t>
            </w:r>
            <w:r w:rsidRPr="00CE3FE1">
              <w:rPr>
                <w:rFonts w:ascii="Arial" w:hAnsi="Arial" w:cs="Arial"/>
                <w:color w:val="000000" w:themeColor="text1"/>
              </w:rPr>
              <w:t xml:space="preserve"> lobbying the UK Government Treasury Committee to allow ALEO Leisure Cards to be part of Corporate Salary Sacrifice Schemes.</w:t>
            </w:r>
          </w:p>
          <w:p w:rsidR="00501C71" w:rsidRDefault="00501C71" w:rsidP="00A30DB0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:rsidR="00F10A6E" w:rsidRPr="00501C71" w:rsidRDefault="00F10A6E" w:rsidP="00A30DB0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501C71">
              <w:rPr>
                <w:rFonts w:ascii="Arial" w:hAnsi="Arial" w:cs="Arial"/>
                <w:i/>
                <w:color w:val="000000" w:themeColor="text1"/>
              </w:rPr>
              <w:t>CoSLA</w:t>
            </w:r>
            <w:proofErr w:type="spellEnd"/>
            <w:r w:rsidRPr="00501C71">
              <w:rPr>
                <w:rFonts w:ascii="Arial" w:hAnsi="Arial" w:cs="Arial"/>
                <w:i/>
                <w:color w:val="000000" w:themeColor="text1"/>
              </w:rPr>
              <w:t xml:space="preserve"> re-approached, awaiting response</w:t>
            </w:r>
          </w:p>
          <w:p w:rsidR="00C134B6" w:rsidRPr="00CE3FE1" w:rsidRDefault="00C134B6" w:rsidP="00A30DB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C134B6" w:rsidRPr="00CE3FE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501C71" w:rsidP="00006E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JWM</w:t>
            </w:r>
          </w:p>
        </w:tc>
        <w:tc>
          <w:tcPr>
            <w:tcW w:w="1627" w:type="dxa"/>
          </w:tcPr>
          <w:p w:rsidR="00C134B6" w:rsidRPr="00CE3FE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CE3FE1" w:rsidRDefault="00F10A6E" w:rsidP="00D20B18">
            <w:pPr>
              <w:rPr>
                <w:rFonts w:ascii="Arial" w:hAnsi="Arial" w:cs="Arial"/>
                <w:color w:val="000000" w:themeColor="text1"/>
              </w:rPr>
            </w:pPr>
            <w:r w:rsidRPr="00CE3FE1">
              <w:rPr>
                <w:rFonts w:ascii="Arial" w:hAnsi="Arial" w:cs="Arial"/>
                <w:color w:val="000000" w:themeColor="text1"/>
              </w:rPr>
              <w:t xml:space="preserve">June </w:t>
            </w:r>
            <w:r w:rsidR="00CE3FE1" w:rsidRPr="00CE3FE1">
              <w:rPr>
                <w:rFonts w:ascii="Arial" w:hAnsi="Arial" w:cs="Arial"/>
                <w:color w:val="000000" w:themeColor="text1"/>
              </w:rPr>
              <w:t xml:space="preserve">HLH </w:t>
            </w:r>
            <w:r w:rsidRPr="00CE3FE1">
              <w:rPr>
                <w:rFonts w:ascii="Arial" w:hAnsi="Arial" w:cs="Arial"/>
                <w:color w:val="000000" w:themeColor="text1"/>
              </w:rPr>
              <w:t>Board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Pr="00987187" w:rsidRDefault="00C134B6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11v.</w:t>
            </w:r>
          </w:p>
        </w:tc>
        <w:tc>
          <w:tcPr>
            <w:tcW w:w="6453" w:type="dxa"/>
          </w:tcPr>
          <w:p w:rsidR="00C134B6" w:rsidRPr="00501C71" w:rsidRDefault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01C71">
              <w:rPr>
                <w:rFonts w:ascii="Arial" w:hAnsi="Arial" w:cs="Arial"/>
                <w:color w:val="000000" w:themeColor="text1"/>
              </w:rPr>
              <w:t>Human Resources</w:t>
            </w:r>
          </w:p>
          <w:p w:rsidR="00C134B6" w:rsidRPr="00501C71" w:rsidRDefault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01C71">
              <w:rPr>
                <w:rFonts w:ascii="Arial" w:hAnsi="Arial" w:cs="Arial"/>
                <w:color w:val="000000" w:themeColor="text1"/>
              </w:rPr>
              <w:t>The possibility of offering participants in the staff survey the opportunity to waive their anonymity and to discuss issues with management to be investigated with the unions involved.</w:t>
            </w:r>
          </w:p>
          <w:p w:rsidR="00501C71" w:rsidRDefault="00501C71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501C71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501C71">
              <w:rPr>
                <w:rFonts w:ascii="Arial" w:hAnsi="Arial" w:cs="Arial"/>
                <w:i/>
                <w:color w:val="000000" w:themeColor="text1"/>
              </w:rPr>
              <w:t>Discussed at</w:t>
            </w:r>
            <w:r w:rsidR="00CE3FE1" w:rsidRPr="00501C7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501C71">
              <w:rPr>
                <w:rFonts w:ascii="Arial" w:hAnsi="Arial" w:cs="Arial"/>
                <w:i/>
                <w:color w:val="000000" w:themeColor="text1"/>
              </w:rPr>
              <w:t>Joint Consultative Forum</w:t>
            </w:r>
          </w:p>
          <w:p w:rsidR="00C134B6" w:rsidRPr="00501C71" w:rsidRDefault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5" w:type="dxa"/>
          </w:tcPr>
          <w:p w:rsidR="00C134B6" w:rsidRPr="00501C7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006EE9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006EE9">
            <w:pPr>
              <w:rPr>
                <w:rFonts w:ascii="Arial" w:hAnsi="Arial" w:cs="Arial"/>
                <w:color w:val="000000" w:themeColor="text1"/>
              </w:rPr>
            </w:pPr>
            <w:r w:rsidRPr="00501C71">
              <w:rPr>
                <w:rFonts w:ascii="Arial" w:hAnsi="Arial" w:cs="Arial"/>
                <w:color w:val="000000" w:themeColor="text1"/>
              </w:rPr>
              <w:t>JWM</w:t>
            </w:r>
          </w:p>
        </w:tc>
        <w:tc>
          <w:tcPr>
            <w:tcW w:w="1627" w:type="dxa"/>
          </w:tcPr>
          <w:p w:rsidR="00C134B6" w:rsidRPr="00501C7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C134B6" w:rsidP="00D20B18">
            <w:pPr>
              <w:rPr>
                <w:rFonts w:ascii="Arial" w:hAnsi="Arial" w:cs="Arial"/>
                <w:color w:val="000000" w:themeColor="text1"/>
              </w:rPr>
            </w:pPr>
          </w:p>
          <w:p w:rsidR="00501C71" w:rsidRDefault="00501C71" w:rsidP="00501C71">
            <w:pPr>
              <w:rPr>
                <w:rFonts w:ascii="Arial" w:hAnsi="Arial" w:cs="Arial"/>
                <w:color w:val="000000" w:themeColor="text1"/>
              </w:rPr>
            </w:pPr>
          </w:p>
          <w:p w:rsidR="00C134B6" w:rsidRPr="00501C71" w:rsidRDefault="00501C71" w:rsidP="00501C71">
            <w:pPr>
              <w:rPr>
                <w:rFonts w:ascii="Arial" w:hAnsi="Arial" w:cs="Arial"/>
                <w:color w:val="000000" w:themeColor="text1"/>
              </w:rPr>
            </w:pPr>
            <w:r w:rsidRPr="00501C71">
              <w:rPr>
                <w:rFonts w:ascii="Arial" w:hAnsi="Arial" w:cs="Arial"/>
                <w:color w:val="000000" w:themeColor="text1"/>
              </w:rPr>
              <w:t>1</w:t>
            </w:r>
            <w:r w:rsidRPr="00501C71">
              <w:rPr>
                <w:rFonts w:ascii="Arial" w:hAnsi="Arial" w:cs="Arial"/>
                <w:color w:val="000000" w:themeColor="text1"/>
                <w:vertAlign w:val="superscript"/>
              </w:rPr>
              <w:t>st</w:t>
            </w:r>
            <w:r w:rsidRPr="00501C71">
              <w:rPr>
                <w:rFonts w:ascii="Arial" w:hAnsi="Arial" w:cs="Arial"/>
                <w:color w:val="000000" w:themeColor="text1"/>
              </w:rPr>
              <w:t xml:space="preserve"> March 2018.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Pr="00987187" w:rsidRDefault="00172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453" w:type="dxa"/>
          </w:tcPr>
          <w:p w:rsidR="00C134B6" w:rsidRPr="008A4340" w:rsidRDefault="0017249F" w:rsidP="00B24E0C">
            <w:pPr>
              <w:jc w:val="both"/>
              <w:rPr>
                <w:rFonts w:ascii="Arial" w:hAnsi="Arial" w:cs="Arial"/>
              </w:rPr>
            </w:pPr>
            <w:r w:rsidRPr="008A4340">
              <w:rPr>
                <w:rFonts w:ascii="Arial" w:hAnsi="Arial" w:cs="Arial"/>
              </w:rPr>
              <w:t>Music Tuition</w:t>
            </w:r>
          </w:p>
          <w:p w:rsidR="0017249F" w:rsidRDefault="0017249F" w:rsidP="00B24E0C">
            <w:pPr>
              <w:jc w:val="both"/>
              <w:rPr>
                <w:rFonts w:ascii="Arial" w:hAnsi="Arial" w:cs="Arial"/>
              </w:rPr>
            </w:pPr>
            <w:r w:rsidRPr="008A4340">
              <w:rPr>
                <w:rFonts w:ascii="Arial" w:hAnsi="Arial" w:cs="Arial"/>
              </w:rPr>
              <w:t xml:space="preserve">The recommendation was agreed subject to </w:t>
            </w:r>
            <w:r w:rsidR="008A4340" w:rsidRPr="008A4340">
              <w:rPr>
                <w:rFonts w:ascii="Arial" w:hAnsi="Arial" w:cs="Arial"/>
              </w:rPr>
              <w:t xml:space="preserve">the addition of </w:t>
            </w:r>
            <w:r w:rsidRPr="008A4340">
              <w:rPr>
                <w:rFonts w:ascii="Arial" w:hAnsi="Arial" w:cs="Arial"/>
              </w:rPr>
              <w:t>an additional recommendation relating to IT matters</w:t>
            </w:r>
            <w:r w:rsidR="008A4340">
              <w:rPr>
                <w:rFonts w:ascii="Arial" w:hAnsi="Arial" w:cs="Arial"/>
              </w:rPr>
              <w:t xml:space="preserve"> with the Board “agreement in principle” to be forwarded to THC for inclusion in THC report.</w:t>
            </w:r>
          </w:p>
          <w:p w:rsidR="00501C71" w:rsidRDefault="00501C71" w:rsidP="00F1046E">
            <w:pPr>
              <w:jc w:val="both"/>
              <w:rPr>
                <w:rFonts w:ascii="Arial" w:hAnsi="Arial" w:cs="Arial"/>
                <w:i/>
              </w:rPr>
            </w:pPr>
          </w:p>
          <w:p w:rsidR="008A4340" w:rsidRPr="00B648AE" w:rsidRDefault="00CF59C2" w:rsidP="00F1046E">
            <w:pPr>
              <w:jc w:val="both"/>
              <w:rPr>
                <w:rFonts w:ascii="Arial" w:hAnsi="Arial" w:cs="Arial"/>
                <w:i/>
              </w:rPr>
            </w:pPr>
            <w:r w:rsidRPr="00B648AE">
              <w:rPr>
                <w:rFonts w:ascii="Arial" w:hAnsi="Arial" w:cs="Arial"/>
                <w:i/>
              </w:rPr>
              <w:t xml:space="preserve">Included in </w:t>
            </w:r>
            <w:r w:rsidR="00F1046E" w:rsidRPr="00B648AE">
              <w:rPr>
                <w:rFonts w:ascii="Arial" w:hAnsi="Arial" w:cs="Arial"/>
                <w:i/>
              </w:rPr>
              <w:t xml:space="preserve">report to </w:t>
            </w:r>
            <w:r w:rsidRPr="00B648AE">
              <w:rPr>
                <w:rFonts w:ascii="Arial" w:hAnsi="Arial" w:cs="Arial"/>
                <w:i/>
              </w:rPr>
              <w:t>THC</w:t>
            </w:r>
            <w:r w:rsidR="00F1046E" w:rsidRPr="00B648AE">
              <w:rPr>
                <w:rFonts w:ascii="Arial" w:hAnsi="Arial" w:cs="Arial"/>
                <w:i/>
              </w:rPr>
              <w:t xml:space="preserve">’s People committee on 25 January 2018. </w:t>
            </w:r>
          </w:p>
        </w:tc>
        <w:tc>
          <w:tcPr>
            <w:tcW w:w="1145" w:type="dxa"/>
          </w:tcPr>
          <w:p w:rsidR="00C134B6" w:rsidRDefault="00C134B6" w:rsidP="00DA1139">
            <w:pPr>
              <w:rPr>
                <w:rFonts w:ascii="Arial" w:hAnsi="Arial" w:cs="Arial"/>
              </w:rPr>
            </w:pPr>
          </w:p>
          <w:p w:rsidR="00F742C4" w:rsidRDefault="00F742C4" w:rsidP="00DA1139">
            <w:pPr>
              <w:rPr>
                <w:rFonts w:ascii="Arial" w:hAnsi="Arial" w:cs="Arial"/>
              </w:rPr>
            </w:pPr>
          </w:p>
          <w:p w:rsidR="00F742C4" w:rsidRDefault="00F742C4" w:rsidP="00DA1139">
            <w:pPr>
              <w:rPr>
                <w:rFonts w:ascii="Arial" w:hAnsi="Arial" w:cs="Arial"/>
              </w:rPr>
            </w:pPr>
          </w:p>
          <w:p w:rsidR="00F742C4" w:rsidRDefault="00F742C4" w:rsidP="00DA1139">
            <w:pPr>
              <w:rPr>
                <w:rFonts w:ascii="Arial" w:hAnsi="Arial" w:cs="Arial"/>
              </w:rPr>
            </w:pPr>
          </w:p>
          <w:p w:rsidR="00F742C4" w:rsidRDefault="00F742C4" w:rsidP="00DA1139">
            <w:pPr>
              <w:rPr>
                <w:rFonts w:ascii="Arial" w:hAnsi="Arial" w:cs="Arial"/>
              </w:rPr>
            </w:pPr>
          </w:p>
          <w:p w:rsidR="00501C71" w:rsidRDefault="00501C71" w:rsidP="00DA1139">
            <w:pPr>
              <w:rPr>
                <w:rFonts w:ascii="Arial" w:hAnsi="Arial" w:cs="Arial"/>
              </w:rPr>
            </w:pPr>
          </w:p>
          <w:p w:rsidR="00F742C4" w:rsidRDefault="00F742C4" w:rsidP="00DA11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</w:t>
            </w:r>
          </w:p>
          <w:p w:rsidR="0017249F" w:rsidRPr="00E82A30" w:rsidRDefault="0017249F" w:rsidP="00DA1139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C134B6" w:rsidRDefault="00C134B6" w:rsidP="00D20B18">
            <w:pPr>
              <w:rPr>
                <w:rFonts w:ascii="Arial" w:hAnsi="Arial" w:cs="Arial"/>
              </w:rPr>
            </w:pPr>
          </w:p>
          <w:p w:rsidR="00F742C4" w:rsidRDefault="00F742C4" w:rsidP="00D20B18">
            <w:pPr>
              <w:rPr>
                <w:rFonts w:ascii="Arial" w:hAnsi="Arial" w:cs="Arial"/>
              </w:rPr>
            </w:pPr>
          </w:p>
          <w:p w:rsidR="00F742C4" w:rsidRDefault="00F742C4" w:rsidP="00D20B18">
            <w:pPr>
              <w:rPr>
                <w:rFonts w:ascii="Arial" w:hAnsi="Arial" w:cs="Arial"/>
              </w:rPr>
            </w:pPr>
          </w:p>
          <w:p w:rsidR="00F742C4" w:rsidRDefault="00F742C4" w:rsidP="00D20B18">
            <w:pPr>
              <w:rPr>
                <w:rFonts w:ascii="Arial" w:hAnsi="Arial" w:cs="Arial"/>
              </w:rPr>
            </w:pPr>
          </w:p>
          <w:p w:rsidR="00F742C4" w:rsidRDefault="00F742C4" w:rsidP="00D20B18">
            <w:pPr>
              <w:rPr>
                <w:rFonts w:ascii="Arial" w:hAnsi="Arial" w:cs="Arial"/>
              </w:rPr>
            </w:pPr>
          </w:p>
          <w:p w:rsidR="00501C71" w:rsidRDefault="00501C71" w:rsidP="00D20B18">
            <w:pPr>
              <w:rPr>
                <w:rFonts w:ascii="Arial" w:hAnsi="Arial" w:cs="Arial"/>
              </w:rPr>
            </w:pPr>
          </w:p>
          <w:p w:rsidR="00F742C4" w:rsidRPr="00E82A30" w:rsidRDefault="003E173A" w:rsidP="00D20B18">
            <w:pPr>
              <w:rPr>
                <w:rFonts w:ascii="Arial" w:hAnsi="Arial" w:cs="Arial"/>
              </w:rPr>
            </w:pPr>
            <w:r w:rsidRPr="00B648AE">
              <w:rPr>
                <w:rFonts w:ascii="Arial" w:hAnsi="Arial" w:cs="Arial"/>
              </w:rPr>
              <w:t>Complete</w:t>
            </w:r>
          </w:p>
        </w:tc>
      </w:tr>
    </w:tbl>
    <w:p w:rsidR="00A772B8" w:rsidRPr="00987187" w:rsidRDefault="00A772B8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27684D">
      <w:pgSz w:w="12240" w:h="15840"/>
      <w:pgMar w:top="1134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20"/>
  </w:num>
  <w:num w:numId="14">
    <w:abstractNumId w:val="10"/>
  </w:num>
  <w:num w:numId="15">
    <w:abstractNumId w:val="16"/>
  </w:num>
  <w:num w:numId="16">
    <w:abstractNumId w:val="11"/>
  </w:num>
  <w:num w:numId="17">
    <w:abstractNumId w:val="19"/>
  </w:num>
  <w:num w:numId="18">
    <w:abstractNumId w:val="14"/>
  </w:num>
  <w:num w:numId="19">
    <w:abstractNumId w:val="1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A077D"/>
    <w:rsid w:val="000A7A57"/>
    <w:rsid w:val="000B1997"/>
    <w:rsid w:val="000B3A34"/>
    <w:rsid w:val="000D47CD"/>
    <w:rsid w:val="000F0D07"/>
    <w:rsid w:val="000F2078"/>
    <w:rsid w:val="00103293"/>
    <w:rsid w:val="001122D2"/>
    <w:rsid w:val="001429CF"/>
    <w:rsid w:val="001449DB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C45BD"/>
    <w:rsid w:val="001C60A5"/>
    <w:rsid w:val="001D65CA"/>
    <w:rsid w:val="001D6E6C"/>
    <w:rsid w:val="001E31FC"/>
    <w:rsid w:val="001E3E0C"/>
    <w:rsid w:val="001E452F"/>
    <w:rsid w:val="001F679F"/>
    <w:rsid w:val="001F6FF7"/>
    <w:rsid w:val="001F78C2"/>
    <w:rsid w:val="00205BD6"/>
    <w:rsid w:val="00210ADB"/>
    <w:rsid w:val="00211E12"/>
    <w:rsid w:val="00213A8C"/>
    <w:rsid w:val="00225F1F"/>
    <w:rsid w:val="00233CFA"/>
    <w:rsid w:val="002363AE"/>
    <w:rsid w:val="00237C06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E1CE4"/>
    <w:rsid w:val="002E405E"/>
    <w:rsid w:val="002F5353"/>
    <w:rsid w:val="002F6F5E"/>
    <w:rsid w:val="003069A9"/>
    <w:rsid w:val="00306E7B"/>
    <w:rsid w:val="003118F4"/>
    <w:rsid w:val="00314CA2"/>
    <w:rsid w:val="00331F7E"/>
    <w:rsid w:val="00335FEA"/>
    <w:rsid w:val="00354078"/>
    <w:rsid w:val="0035545E"/>
    <w:rsid w:val="00362DDA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C0B8F"/>
    <w:rsid w:val="003C0DC6"/>
    <w:rsid w:val="003C4762"/>
    <w:rsid w:val="003E173A"/>
    <w:rsid w:val="003E772C"/>
    <w:rsid w:val="003F3238"/>
    <w:rsid w:val="003F3C0E"/>
    <w:rsid w:val="003F5213"/>
    <w:rsid w:val="003F6258"/>
    <w:rsid w:val="00402196"/>
    <w:rsid w:val="00406540"/>
    <w:rsid w:val="00436FCF"/>
    <w:rsid w:val="00440496"/>
    <w:rsid w:val="00440619"/>
    <w:rsid w:val="00444234"/>
    <w:rsid w:val="00446BF3"/>
    <w:rsid w:val="004545DE"/>
    <w:rsid w:val="0047044E"/>
    <w:rsid w:val="00473AD3"/>
    <w:rsid w:val="00481B26"/>
    <w:rsid w:val="00494D8C"/>
    <w:rsid w:val="004965DB"/>
    <w:rsid w:val="004A3E99"/>
    <w:rsid w:val="004B6391"/>
    <w:rsid w:val="004B7131"/>
    <w:rsid w:val="004B7775"/>
    <w:rsid w:val="004B7DD9"/>
    <w:rsid w:val="004C1A4D"/>
    <w:rsid w:val="004C3E68"/>
    <w:rsid w:val="004E1315"/>
    <w:rsid w:val="004E4710"/>
    <w:rsid w:val="00500725"/>
    <w:rsid w:val="00501C71"/>
    <w:rsid w:val="00511172"/>
    <w:rsid w:val="0051386A"/>
    <w:rsid w:val="00531568"/>
    <w:rsid w:val="00532A65"/>
    <w:rsid w:val="00536E2D"/>
    <w:rsid w:val="00540FEE"/>
    <w:rsid w:val="005619DA"/>
    <w:rsid w:val="00562C72"/>
    <w:rsid w:val="00575A59"/>
    <w:rsid w:val="00587D92"/>
    <w:rsid w:val="00590015"/>
    <w:rsid w:val="005B02E7"/>
    <w:rsid w:val="005B10AD"/>
    <w:rsid w:val="005F2C2C"/>
    <w:rsid w:val="0060668F"/>
    <w:rsid w:val="006154DA"/>
    <w:rsid w:val="00621CF2"/>
    <w:rsid w:val="006403BD"/>
    <w:rsid w:val="00644E6A"/>
    <w:rsid w:val="00657124"/>
    <w:rsid w:val="00657EAC"/>
    <w:rsid w:val="00661688"/>
    <w:rsid w:val="00661E17"/>
    <w:rsid w:val="00662149"/>
    <w:rsid w:val="00662BF5"/>
    <w:rsid w:val="00672376"/>
    <w:rsid w:val="00687BEA"/>
    <w:rsid w:val="006944C0"/>
    <w:rsid w:val="00696D30"/>
    <w:rsid w:val="00697463"/>
    <w:rsid w:val="006A48C3"/>
    <w:rsid w:val="006C6BE7"/>
    <w:rsid w:val="006E397B"/>
    <w:rsid w:val="00702DC6"/>
    <w:rsid w:val="007046F9"/>
    <w:rsid w:val="0070485C"/>
    <w:rsid w:val="00712FAF"/>
    <w:rsid w:val="007160F1"/>
    <w:rsid w:val="007209FB"/>
    <w:rsid w:val="00720D0D"/>
    <w:rsid w:val="0072597C"/>
    <w:rsid w:val="00734256"/>
    <w:rsid w:val="00735C20"/>
    <w:rsid w:val="007521A6"/>
    <w:rsid w:val="007628A8"/>
    <w:rsid w:val="00766A6E"/>
    <w:rsid w:val="00771A16"/>
    <w:rsid w:val="00773C15"/>
    <w:rsid w:val="00784CF5"/>
    <w:rsid w:val="00791D59"/>
    <w:rsid w:val="0079658A"/>
    <w:rsid w:val="007E2C39"/>
    <w:rsid w:val="007F2267"/>
    <w:rsid w:val="007F40AD"/>
    <w:rsid w:val="00807108"/>
    <w:rsid w:val="00811F58"/>
    <w:rsid w:val="008327B2"/>
    <w:rsid w:val="008404B0"/>
    <w:rsid w:val="00843830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E13E5"/>
    <w:rsid w:val="00912C06"/>
    <w:rsid w:val="00917BF9"/>
    <w:rsid w:val="00921223"/>
    <w:rsid w:val="0094077B"/>
    <w:rsid w:val="00940E3A"/>
    <w:rsid w:val="0094492F"/>
    <w:rsid w:val="00947629"/>
    <w:rsid w:val="00977A27"/>
    <w:rsid w:val="0098330F"/>
    <w:rsid w:val="00987187"/>
    <w:rsid w:val="00992173"/>
    <w:rsid w:val="00994324"/>
    <w:rsid w:val="0099799A"/>
    <w:rsid w:val="009A05DA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13E6C"/>
    <w:rsid w:val="00A25258"/>
    <w:rsid w:val="00A27742"/>
    <w:rsid w:val="00A30DB0"/>
    <w:rsid w:val="00A31911"/>
    <w:rsid w:val="00A345B0"/>
    <w:rsid w:val="00A35CB5"/>
    <w:rsid w:val="00A45892"/>
    <w:rsid w:val="00A45F14"/>
    <w:rsid w:val="00A53622"/>
    <w:rsid w:val="00A573C2"/>
    <w:rsid w:val="00A615BC"/>
    <w:rsid w:val="00A66C31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58C1"/>
    <w:rsid w:val="00AC755E"/>
    <w:rsid w:val="00AC78B9"/>
    <w:rsid w:val="00AE3956"/>
    <w:rsid w:val="00AE6781"/>
    <w:rsid w:val="00AE7D3D"/>
    <w:rsid w:val="00AF576E"/>
    <w:rsid w:val="00B07CFA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A0CDB"/>
    <w:rsid w:val="00BB288E"/>
    <w:rsid w:val="00BB4016"/>
    <w:rsid w:val="00BC0CE8"/>
    <w:rsid w:val="00BC1F88"/>
    <w:rsid w:val="00BD15CF"/>
    <w:rsid w:val="00BE087E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3EA0"/>
    <w:rsid w:val="00C44CF9"/>
    <w:rsid w:val="00C46AF6"/>
    <w:rsid w:val="00C57229"/>
    <w:rsid w:val="00C6035D"/>
    <w:rsid w:val="00C66D20"/>
    <w:rsid w:val="00C67BFA"/>
    <w:rsid w:val="00C70B7C"/>
    <w:rsid w:val="00C72443"/>
    <w:rsid w:val="00C77B42"/>
    <w:rsid w:val="00C851DE"/>
    <w:rsid w:val="00CA211B"/>
    <w:rsid w:val="00CB163C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805F2"/>
    <w:rsid w:val="00D8542B"/>
    <w:rsid w:val="00D922B5"/>
    <w:rsid w:val="00D964F3"/>
    <w:rsid w:val="00DA1139"/>
    <w:rsid w:val="00DA76DE"/>
    <w:rsid w:val="00DA7DFB"/>
    <w:rsid w:val="00DB7F4C"/>
    <w:rsid w:val="00DC4099"/>
    <w:rsid w:val="00DC5A03"/>
    <w:rsid w:val="00DD3714"/>
    <w:rsid w:val="00DD4289"/>
    <w:rsid w:val="00DE3554"/>
    <w:rsid w:val="00DE6212"/>
    <w:rsid w:val="00DF1651"/>
    <w:rsid w:val="00DF1780"/>
    <w:rsid w:val="00E0011C"/>
    <w:rsid w:val="00E229D2"/>
    <w:rsid w:val="00E23DD5"/>
    <w:rsid w:val="00E41460"/>
    <w:rsid w:val="00E44804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1046E"/>
    <w:rsid w:val="00F10A6E"/>
    <w:rsid w:val="00F23DCB"/>
    <w:rsid w:val="00F245EA"/>
    <w:rsid w:val="00F36D9C"/>
    <w:rsid w:val="00F429C2"/>
    <w:rsid w:val="00F441F5"/>
    <w:rsid w:val="00F4797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2">
    <w:name w:val="Char Char Char Char Char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2">
    <w:name w:val="Char Char Char Char Char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E879-94B0-4BB3-BAA7-1E7FE38C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Jane Maclennan</cp:lastModifiedBy>
  <cp:revision>5</cp:revision>
  <cp:lastPrinted>2018-02-27T14:38:00Z</cp:lastPrinted>
  <dcterms:created xsi:type="dcterms:W3CDTF">2018-01-15T09:24:00Z</dcterms:created>
  <dcterms:modified xsi:type="dcterms:W3CDTF">2018-03-05T11:05:00Z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1769073450</vt:i4>
  </property>
  <property fmtid="{D5CDD505-2E9C-101B-9397-08002B2CF9AE}" pid="3" name="_NewReviewCycle">
    <vt:lpwstr/>
  </property>
  <property fmtid="{D5CDD505-2E9C-101B-9397-08002B2CF9AE}" pid="4" name="_EmailSubject">
    <vt:lpwstr>HLH BOARD - AGENDA AND PAPERS FOR WEBSITES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-2100992604</vt:i4>
  </property>
</Properties>
</file>